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D26E5" w14:textId="0F86E662" w:rsidR="00A07913" w:rsidRPr="009E6DE6" w:rsidRDefault="00A07913" w:rsidP="00091D2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E6DE6">
        <w:rPr>
          <w:rFonts w:ascii="Arial" w:hAnsi="Arial" w:cs="Arial"/>
          <w:b/>
          <w:sz w:val="20"/>
          <w:szCs w:val="20"/>
        </w:rPr>
        <w:t xml:space="preserve">The rubrics for English Language Arts complement the curriculum and achievement standards which provide detailed benchmarks. </w:t>
      </w:r>
    </w:p>
    <w:p w14:paraId="6309F19C" w14:textId="1EDDDD8D" w:rsidR="00A07913" w:rsidRPr="009E6DE6" w:rsidRDefault="00A07913" w:rsidP="00A07913">
      <w:pPr>
        <w:rPr>
          <w:rFonts w:ascii="Arial" w:hAnsi="Arial" w:cs="Arial"/>
          <w:b/>
          <w:sz w:val="20"/>
          <w:szCs w:val="20"/>
        </w:rPr>
      </w:pPr>
      <w:r w:rsidRPr="009E6DE6">
        <w:rPr>
          <w:rFonts w:ascii="Arial" w:hAnsi="Arial" w:cs="Arial"/>
          <w:b/>
          <w:sz w:val="20"/>
          <w:szCs w:val="20"/>
        </w:rPr>
        <w:t xml:space="preserve">Reading and Writing Standards: </w:t>
      </w:r>
      <w:hyperlink r:id="rId11" w:history="1">
        <w:r w:rsidRPr="009E6DE6">
          <w:rPr>
            <w:rStyle w:val="Hyperlink"/>
            <w:rFonts w:ascii="Arial" w:hAnsi="Arial" w:cs="Arial"/>
            <w:b/>
            <w:sz w:val="20"/>
            <w:szCs w:val="20"/>
          </w:rPr>
          <w:t>https://portal.nbed.nb.ca/tr/lr/Curriculum%20Support%20Resources/Reading%20and%20Writing%20Achievement%20Standards%20End%20of%20Grade%20Seven</w:t>
        </w:r>
      </w:hyperlink>
    </w:p>
    <w:tbl>
      <w:tblPr>
        <w:tblStyle w:val="TableGrid"/>
        <w:tblW w:w="15026" w:type="dxa"/>
        <w:tblInd w:w="-1026" w:type="dxa"/>
        <w:tblLook w:val="04A0" w:firstRow="1" w:lastRow="0" w:firstColumn="1" w:lastColumn="0" w:noHBand="0" w:noVBand="1"/>
      </w:tblPr>
      <w:tblGrid>
        <w:gridCol w:w="1418"/>
        <w:gridCol w:w="435"/>
        <w:gridCol w:w="3392"/>
        <w:gridCol w:w="3402"/>
        <w:gridCol w:w="3544"/>
        <w:gridCol w:w="2835"/>
      </w:tblGrid>
      <w:tr w:rsidR="003D24DD" w:rsidRPr="003D08E7" w14:paraId="34AF92CF" w14:textId="77777777" w:rsidTr="009E6DE6">
        <w:trPr>
          <w:trHeight w:val="246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</w:tcPr>
          <w:p w14:paraId="085143A8" w14:textId="5CB65A3A" w:rsidR="003D24DD" w:rsidRPr="003D08E7" w:rsidRDefault="003D24DD" w:rsidP="00716E54">
            <w:pPr>
              <w:ind w:left="113" w:right="113"/>
              <w:rPr>
                <w:rFonts w:ascii="Arial" w:hAnsi="Arial" w:cs="Arial"/>
              </w:rPr>
            </w:pPr>
            <w:r w:rsidRPr="000E1828">
              <w:rPr>
                <w:rFonts w:ascii="Arial" w:hAnsi="Arial" w:cs="Arial"/>
                <w:b/>
                <w:sz w:val="18"/>
                <w:szCs w:val="18"/>
              </w:rPr>
              <w:t>Speaking and Listening</w:t>
            </w:r>
            <w:r w:rsidRPr="000E18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7 </w:t>
            </w:r>
            <w:r w:rsidRPr="000E1828">
              <w:rPr>
                <w:rFonts w:ascii="Arial" w:hAnsi="Arial" w:cs="Arial"/>
                <w:color w:val="000000"/>
                <w:sz w:val="18"/>
                <w:szCs w:val="18"/>
              </w:rPr>
              <w:t xml:space="preserve">descriptors change very little from grade to grade: it is the depth of the message, maturity of the themes, vocabulary and background knowledge that increase based on topics addressed at each grade level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across</w:t>
            </w:r>
            <w:r w:rsidRPr="000E182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subject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and through lived and textual experiences</w:t>
            </w:r>
            <w:r w:rsidRPr="000E1828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35" w:type="dxa"/>
            <w:shd w:val="clear" w:color="auto" w:fill="C6D9F1" w:themeFill="text2" w:themeFillTint="33"/>
          </w:tcPr>
          <w:p w14:paraId="34AF92CA" w14:textId="1FBBF275" w:rsidR="003D24DD" w:rsidRPr="003D08E7" w:rsidRDefault="003D24DD" w:rsidP="00667D12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C6D9F1" w:themeFill="text2" w:themeFillTint="33"/>
          </w:tcPr>
          <w:p w14:paraId="34AF92CB" w14:textId="5B266068" w:rsidR="003D24DD" w:rsidRPr="003D08E7" w:rsidRDefault="003D24DD" w:rsidP="008B3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Excelling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4AF92CC" w14:textId="77777777" w:rsidR="003D24DD" w:rsidRPr="003D08E7" w:rsidRDefault="003D24DD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3 - Meeting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34AF92CD" w14:textId="77777777" w:rsidR="003D24DD" w:rsidRPr="003D08E7" w:rsidRDefault="003D24DD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2 - Approaching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4AF92CE" w14:textId="4BCA83A7" w:rsidR="003D24DD" w:rsidRPr="003D08E7" w:rsidRDefault="003D24DD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1 -</w:t>
            </w:r>
            <w:r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Working Below</w:t>
            </w:r>
          </w:p>
        </w:tc>
      </w:tr>
      <w:tr w:rsidR="003D24DD" w:rsidRPr="003D08E7" w14:paraId="34AF92D6" w14:textId="77777777" w:rsidTr="009E6DE6">
        <w:trPr>
          <w:cantSplit/>
          <w:trHeight w:val="2125"/>
        </w:trPr>
        <w:tc>
          <w:tcPr>
            <w:tcW w:w="1418" w:type="dxa"/>
            <w:vMerge/>
            <w:textDirection w:val="btLr"/>
          </w:tcPr>
          <w:p w14:paraId="18C67AA7" w14:textId="7FAE708A" w:rsidR="003D24DD" w:rsidRDefault="003D24DD" w:rsidP="00716E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5" w:type="dxa"/>
            <w:textDirection w:val="btLr"/>
          </w:tcPr>
          <w:p w14:paraId="34AF92D1" w14:textId="309D2CA5" w:rsidR="003D24DD" w:rsidRPr="003D24DD" w:rsidRDefault="003D24DD" w:rsidP="003D24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D24DD"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3392" w:type="dxa"/>
            <w:shd w:val="clear" w:color="auto" w:fill="auto"/>
          </w:tcPr>
          <w:p w14:paraId="49133096" w14:textId="5AB9ED9D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Efficiently uses strategies to participate in large and small group discussions; asks probing questions</w:t>
            </w:r>
            <w:r w:rsidR="00091D26">
              <w:rPr>
                <w:rFonts w:ascii="Arial" w:hAnsi="Arial" w:cs="Arial"/>
              </w:rPr>
              <w:t>.</w:t>
            </w:r>
            <w:r w:rsidRPr="003D08E7">
              <w:rPr>
                <w:rFonts w:ascii="Arial" w:hAnsi="Arial" w:cs="Arial"/>
              </w:rPr>
              <w:t xml:space="preserve"> </w:t>
            </w:r>
          </w:p>
          <w:p w14:paraId="109FBA47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4C1A7CA9" w14:textId="003BC921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Considers audience and contributes constructively, confidently and purposefully to discussions. </w:t>
            </w:r>
          </w:p>
          <w:p w14:paraId="732AB94A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2" w14:textId="2F2D2D2C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Consistently uses active communication skills and conventions appropriate to the speaking context</w:t>
            </w:r>
            <w:r>
              <w:rPr>
                <w:rFonts w:ascii="Arial" w:hAnsi="Arial" w:cs="Arial"/>
              </w:rPr>
              <w:t>.</w:t>
            </w:r>
            <w:r w:rsidRPr="003D08E7">
              <w:rPr>
                <w:rFonts w:ascii="Arial" w:hAnsi="Arial" w:cs="Arial"/>
              </w:rPr>
              <w:t xml:space="preserve"> At ease in formal contexts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49AD1EE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Effectively uses strategies to participate in large and small group discussions; asks clarifying questions</w:t>
            </w:r>
            <w:r w:rsidR="00091D26">
              <w:rPr>
                <w:rFonts w:ascii="Arial" w:hAnsi="Arial" w:cs="Arial"/>
              </w:rPr>
              <w:t>.</w:t>
            </w:r>
            <w:r w:rsidRPr="003D08E7">
              <w:rPr>
                <w:rFonts w:ascii="Arial" w:hAnsi="Arial" w:cs="Arial"/>
              </w:rPr>
              <w:t xml:space="preserve"> </w:t>
            </w:r>
          </w:p>
          <w:p w14:paraId="3681FBC9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3A52384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Considers audience and contributes sensitively, constructively and purposefully to discussions. </w:t>
            </w:r>
          </w:p>
          <w:p w14:paraId="5E1E46F3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3" w14:textId="61503C18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Generally uses active communication skills appropriate to the speaking context Communicates in formal contexts.</w:t>
            </w:r>
          </w:p>
        </w:tc>
        <w:tc>
          <w:tcPr>
            <w:tcW w:w="3544" w:type="dxa"/>
            <w:shd w:val="clear" w:color="auto" w:fill="auto"/>
          </w:tcPr>
          <w:p w14:paraId="4A94B723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Needs support to use strategies to participate in discussions; questions sometimes advance communication. </w:t>
            </w:r>
          </w:p>
          <w:p w14:paraId="02E4431B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09EF23C6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May contribute to discussions but needs support to communicate effectively with an audience With support,  uses active communication skills appropriate to the speaking context </w:t>
            </w:r>
          </w:p>
          <w:p w14:paraId="3CFA7C81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4" w14:textId="363C28EA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Occasionally at ease in formal contexts, but prefers informal contexts</w:t>
            </w:r>
          </w:p>
        </w:tc>
        <w:tc>
          <w:tcPr>
            <w:tcW w:w="2835" w:type="dxa"/>
            <w:shd w:val="clear" w:color="auto" w:fill="auto"/>
          </w:tcPr>
          <w:p w14:paraId="0DDB68F7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Has a great deal of difficulty to use strategies to participate in discussions</w:t>
            </w:r>
            <w:r w:rsidR="00091D26">
              <w:rPr>
                <w:rFonts w:ascii="Arial" w:hAnsi="Arial" w:cs="Arial"/>
              </w:rPr>
              <w:t>.</w:t>
            </w:r>
            <w:r w:rsidRPr="003D08E7">
              <w:rPr>
                <w:rFonts w:ascii="Arial" w:hAnsi="Arial" w:cs="Arial"/>
              </w:rPr>
              <w:t xml:space="preserve"> </w:t>
            </w:r>
          </w:p>
          <w:p w14:paraId="519D2E76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5" w14:textId="160C41B5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Hardly ever contributes to discussions, unwilling/able to consider audience  Not able to use active communication skills appropriate to the speaking context</w:t>
            </w:r>
            <w:r w:rsidR="00091D26">
              <w:rPr>
                <w:rFonts w:ascii="Arial" w:hAnsi="Arial" w:cs="Arial"/>
              </w:rPr>
              <w:t>.</w:t>
            </w:r>
          </w:p>
        </w:tc>
      </w:tr>
      <w:tr w:rsidR="003D24DD" w:rsidRPr="003D08E7" w14:paraId="34AF92DC" w14:textId="77777777" w:rsidTr="009E6DE6">
        <w:trPr>
          <w:cantSplit/>
          <w:trHeight w:val="1817"/>
        </w:trPr>
        <w:tc>
          <w:tcPr>
            <w:tcW w:w="1418" w:type="dxa"/>
            <w:vMerge/>
          </w:tcPr>
          <w:p w14:paraId="168973BE" w14:textId="77777777" w:rsidR="003D24DD" w:rsidRDefault="003D24DD" w:rsidP="00315509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extDirection w:val="btLr"/>
          </w:tcPr>
          <w:p w14:paraId="34AF92D7" w14:textId="115C21CD" w:rsidR="003D24DD" w:rsidRPr="003D24DD" w:rsidRDefault="003D24DD" w:rsidP="003D24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D24DD">
              <w:rPr>
                <w:rFonts w:ascii="Arial" w:hAnsi="Arial" w:cs="Arial"/>
                <w:sz w:val="18"/>
                <w:szCs w:val="18"/>
              </w:rPr>
              <w:t xml:space="preserve">Listening Comprehension </w:t>
            </w:r>
          </w:p>
        </w:tc>
        <w:tc>
          <w:tcPr>
            <w:tcW w:w="3392" w:type="dxa"/>
          </w:tcPr>
          <w:p w14:paraId="34A44B3B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Understands the apparent intent of the message, and considers supporting details. </w:t>
            </w:r>
          </w:p>
          <w:p w14:paraId="3D6358B5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274EFB7C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Consistently responds appropriately to a variety of questions and instructions. </w:t>
            </w:r>
          </w:p>
          <w:p w14:paraId="0FE40ECA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8" w14:textId="1C1294D2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Evaluates meaning, using a range of cues and conventions, and seeks clarification or explanation with a goal of solid understanding.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0BC6752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Understands the apparent intent of the message, and considers supporting details. </w:t>
            </w:r>
          </w:p>
          <w:p w14:paraId="40C746D0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7F45E33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Generally responds appropriately to a variety of questions and instructions. </w:t>
            </w:r>
          </w:p>
          <w:p w14:paraId="72F824AF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9" w14:textId="34CE8CB1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Evaluates</w:t>
            </w:r>
            <w:r w:rsidRPr="003D08E7">
              <w:rPr>
                <w:rFonts w:ascii="Arial" w:hAnsi="Arial" w:cs="Arial"/>
                <w:color w:val="FF0000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meaning, using a range of cues and conventions, and readily seeks clarification or explanation when intent is lost. </w:t>
            </w:r>
          </w:p>
        </w:tc>
        <w:tc>
          <w:tcPr>
            <w:tcW w:w="3544" w:type="dxa"/>
          </w:tcPr>
          <w:p w14:paraId="08DF098D" w14:textId="77777777" w:rsidR="00091D26" w:rsidRDefault="003D24DD" w:rsidP="00F821D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At times has a </w:t>
            </w:r>
            <w:r>
              <w:rPr>
                <w:rFonts w:ascii="Arial" w:hAnsi="Arial" w:cs="Arial"/>
              </w:rPr>
              <w:t>limited</w:t>
            </w:r>
            <w:r w:rsidRPr="003D08E7">
              <w:rPr>
                <w:rFonts w:ascii="Arial" w:hAnsi="Arial" w:cs="Arial"/>
              </w:rPr>
              <w:t xml:space="preserve"> understanding of the apparent intent of the message, but with support considers details to clarify. </w:t>
            </w:r>
          </w:p>
          <w:p w14:paraId="53481E3A" w14:textId="77777777" w:rsidR="00091D26" w:rsidRDefault="00091D26" w:rsidP="00F821DC">
            <w:pPr>
              <w:rPr>
                <w:rFonts w:ascii="Arial" w:hAnsi="Arial" w:cs="Arial"/>
              </w:rPr>
            </w:pPr>
          </w:p>
          <w:p w14:paraId="34AF92DA" w14:textId="6F7E1713" w:rsidR="003D24DD" w:rsidRPr="003D08E7" w:rsidRDefault="003D24DD" w:rsidP="00F821D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With support, responds appropriately to a variety of questions and instructions. With some difficulty, evaluates meaning, often needing prompting about cues and conventions, occasionally seeks clarification or explanation.</w:t>
            </w:r>
          </w:p>
        </w:tc>
        <w:tc>
          <w:tcPr>
            <w:tcW w:w="2835" w:type="dxa"/>
          </w:tcPr>
          <w:p w14:paraId="6F417240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Seldom offers a response to the message. </w:t>
            </w:r>
          </w:p>
          <w:p w14:paraId="04836553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FD2DA19" w14:textId="77777777" w:rsidR="00091D26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Offers limited response to questions and instructions. </w:t>
            </w:r>
          </w:p>
          <w:p w14:paraId="548B8E4D" w14:textId="77777777" w:rsidR="00091D26" w:rsidRDefault="00091D26" w:rsidP="00667D12">
            <w:pPr>
              <w:rPr>
                <w:rFonts w:ascii="Arial" w:hAnsi="Arial" w:cs="Arial"/>
              </w:rPr>
            </w:pPr>
          </w:p>
          <w:p w14:paraId="34AF92DB" w14:textId="1705CCB9" w:rsidR="003D24DD" w:rsidRPr="003D08E7" w:rsidRDefault="003D24DD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Rarely evaluates meaning or seeks clarification or explanation, misses less obvious cues and conventions.</w:t>
            </w:r>
          </w:p>
        </w:tc>
      </w:tr>
      <w:tr w:rsidR="00A07913" w:rsidRPr="003D08E7" w14:paraId="2967492E" w14:textId="77777777" w:rsidTr="009E6DE6">
        <w:trPr>
          <w:trHeight w:val="274"/>
        </w:trPr>
        <w:tc>
          <w:tcPr>
            <w:tcW w:w="15026" w:type="dxa"/>
            <w:gridSpan w:val="6"/>
          </w:tcPr>
          <w:p w14:paraId="41926CDE" w14:textId="2D16A653" w:rsidR="00A07913" w:rsidRPr="003D08E7" w:rsidRDefault="00A07913" w:rsidP="006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Evidence: Rubrics designed for informal (i.e. book talks, group discussions, book club discussions)  and formal (i.e. debates, interviews) products, </w:t>
            </w:r>
            <w:r>
              <w:rPr>
                <w:rFonts w:ascii="Arial" w:hAnsi="Arial" w:cs="Arial"/>
              </w:rPr>
              <w:lastRenderedPageBreak/>
              <w:t>checklists for classroom observations (i.e. asking clarifying questions, active listening) , conference notes(i.e. student goals, self-reflection), formative assessment notes (i.e. group work, fish bowl activity).</w:t>
            </w:r>
          </w:p>
        </w:tc>
      </w:tr>
    </w:tbl>
    <w:p w14:paraId="3F867197" w14:textId="3ADF853E" w:rsidR="003C2360" w:rsidRDefault="003C2360" w:rsidP="003D08E7">
      <w:pPr>
        <w:rPr>
          <w:rFonts w:ascii="Arial" w:hAnsi="Arial" w:cs="Arial"/>
          <w:b/>
        </w:rPr>
      </w:pP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119"/>
        <w:gridCol w:w="3543"/>
        <w:gridCol w:w="3544"/>
        <w:gridCol w:w="3402"/>
      </w:tblGrid>
      <w:tr w:rsidR="00A07913" w:rsidRPr="003D08E7" w14:paraId="34AF92E5" w14:textId="77777777" w:rsidTr="00A07913">
        <w:tc>
          <w:tcPr>
            <w:tcW w:w="425" w:type="dxa"/>
            <w:vMerge w:val="restart"/>
            <w:shd w:val="clear" w:color="auto" w:fill="C6D9F1" w:themeFill="text2" w:themeFillTint="33"/>
            <w:textDirection w:val="btLr"/>
          </w:tcPr>
          <w:p w14:paraId="3CF4A111" w14:textId="5374CE48" w:rsidR="00A07913" w:rsidRPr="003D08E7" w:rsidRDefault="00A07913" w:rsidP="00A0791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  <w:b/>
              </w:rPr>
              <w:t>Reading and Viewing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34AF92E0" w14:textId="1397ADD6" w:rsidR="00A07913" w:rsidRPr="003D08E7" w:rsidRDefault="00A07913" w:rsidP="003D08E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34AF92E1" w14:textId="685DA82A" w:rsidR="00A07913" w:rsidRPr="003D08E7" w:rsidRDefault="00A07913" w:rsidP="008B3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Excelling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34AF92E2" w14:textId="77777777" w:rsidR="00A07913" w:rsidRPr="003D08E7" w:rsidRDefault="00A07913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3 - Meeting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34AF92E3" w14:textId="77777777" w:rsidR="00A07913" w:rsidRPr="003D08E7" w:rsidRDefault="00A07913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2 - Approaching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4AF92E4" w14:textId="3329745C" w:rsidR="00A07913" w:rsidRPr="003D08E7" w:rsidRDefault="00A07913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1 -</w:t>
            </w:r>
            <w:r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Working Below</w:t>
            </w:r>
          </w:p>
        </w:tc>
      </w:tr>
      <w:tr w:rsidR="00A07913" w:rsidRPr="003D08E7" w14:paraId="34AF92F5" w14:textId="77777777" w:rsidTr="009E6DE6">
        <w:trPr>
          <w:cantSplit/>
          <w:trHeight w:val="1806"/>
        </w:trPr>
        <w:tc>
          <w:tcPr>
            <w:tcW w:w="425" w:type="dxa"/>
            <w:vMerge/>
          </w:tcPr>
          <w:p w14:paraId="4CEFD6B0" w14:textId="77777777" w:rsidR="00A07913" w:rsidRPr="003D08E7" w:rsidRDefault="00A07913" w:rsidP="006501C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extDirection w:val="btLr"/>
          </w:tcPr>
          <w:p w14:paraId="34AF92ED" w14:textId="0FD3D71B" w:rsidR="00A07913" w:rsidRPr="00A07913" w:rsidRDefault="00A07913" w:rsidP="00A0791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07913">
              <w:rPr>
                <w:rFonts w:ascii="Arial" w:hAnsi="Arial" w:cs="Arial"/>
                <w:sz w:val="18"/>
                <w:szCs w:val="18"/>
              </w:rPr>
              <w:t>Strategies and Behaviours</w:t>
            </w:r>
          </w:p>
        </w:tc>
        <w:tc>
          <w:tcPr>
            <w:tcW w:w="3119" w:type="dxa"/>
          </w:tcPr>
          <w:p w14:paraId="34AF92EE" w14:textId="77777777" w:rsidR="00A07913" w:rsidRPr="00A07913" w:rsidRDefault="00A07913" w:rsidP="00A07913">
            <w:pPr>
              <w:rPr>
                <w:rFonts w:ascii="Arial" w:hAnsi="Arial" w:cs="Arial"/>
                <w:highlight w:val="yellow"/>
              </w:rPr>
            </w:pPr>
            <w:r w:rsidRPr="00A07913">
              <w:rPr>
                <w:rFonts w:ascii="Arial" w:hAnsi="Arial" w:cs="Arial"/>
              </w:rPr>
              <w:t xml:space="preserve">Efficiently integrates a wide range of grade-level strategies, including word solving (e.g., roots, prefixes) to understand subject-specific vocabulary, to construct meaning.  </w:t>
            </w:r>
          </w:p>
          <w:p w14:paraId="69123D34" w14:textId="77777777" w:rsidR="00A07913" w:rsidRDefault="00A07913" w:rsidP="00A07913">
            <w:pPr>
              <w:rPr>
                <w:rFonts w:ascii="Arial" w:hAnsi="Arial" w:cs="Arial"/>
              </w:rPr>
            </w:pPr>
          </w:p>
          <w:p w14:paraId="34AF92EF" w14:textId="77777777" w:rsidR="00A07913" w:rsidRPr="00A07913" w:rsidRDefault="00A07913" w:rsidP="00A07913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Consistently explains processes and strategies.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4AF92F0" w14:textId="41512F56" w:rsidR="00A07913" w:rsidRPr="00A07913" w:rsidRDefault="00A07913" w:rsidP="001F509F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>Effectively uses grade-level strategies, including word solving (e.g., roots, prefixes) to understand subject-specific vocabulary, to</w:t>
            </w:r>
            <w:r>
              <w:rPr>
                <w:rFonts w:ascii="Arial" w:hAnsi="Arial" w:cs="Arial"/>
              </w:rPr>
              <w:t xml:space="preserve"> construct meaning.</w:t>
            </w:r>
          </w:p>
          <w:p w14:paraId="7BC2D5E5" w14:textId="77777777" w:rsidR="00A07913" w:rsidRDefault="00A07913" w:rsidP="00115558">
            <w:pPr>
              <w:rPr>
                <w:rFonts w:ascii="Arial" w:hAnsi="Arial" w:cs="Arial"/>
              </w:rPr>
            </w:pPr>
          </w:p>
          <w:p w14:paraId="34AF92F1" w14:textId="77777777" w:rsidR="00A07913" w:rsidRPr="00A07913" w:rsidRDefault="00A07913" w:rsidP="00115558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Generally explains processes and strategies. </w:t>
            </w:r>
          </w:p>
        </w:tc>
        <w:tc>
          <w:tcPr>
            <w:tcW w:w="3544" w:type="dxa"/>
          </w:tcPr>
          <w:p w14:paraId="7C94A281" w14:textId="77777777" w:rsidR="00A07913" w:rsidRDefault="00A07913" w:rsidP="00E73F7B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Requires support to use grade-level strategies to construct meaning. Requires extra support to use word solving (e.g., roots, prefixes) to understand subject-specific vocabulary and when approaching new texts. </w:t>
            </w:r>
          </w:p>
          <w:p w14:paraId="2E575E4D" w14:textId="77777777" w:rsidR="00A07913" w:rsidRDefault="00A07913" w:rsidP="00E73F7B">
            <w:pPr>
              <w:rPr>
                <w:rFonts w:ascii="Arial" w:hAnsi="Arial" w:cs="Arial"/>
              </w:rPr>
            </w:pPr>
          </w:p>
          <w:p w14:paraId="34AF92F2" w14:textId="6D2B39DA" w:rsidR="00A07913" w:rsidRPr="00A07913" w:rsidRDefault="00A07913" w:rsidP="00E73F7B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>Occasionally explains processes and strategies.</w:t>
            </w:r>
          </w:p>
        </w:tc>
        <w:tc>
          <w:tcPr>
            <w:tcW w:w="3402" w:type="dxa"/>
          </w:tcPr>
          <w:p w14:paraId="34AF92F3" w14:textId="77777777" w:rsidR="00A07913" w:rsidRPr="00A07913" w:rsidRDefault="00A07913" w:rsidP="008B4575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>Requires a great deal of direction to use grade-level strategies to construct meaning. Rarely explains processes and strategies.</w:t>
            </w:r>
          </w:p>
          <w:p w14:paraId="68C97E6C" w14:textId="77777777" w:rsidR="00A07913" w:rsidRDefault="00A07913" w:rsidP="00A0212E">
            <w:pPr>
              <w:rPr>
                <w:rFonts w:ascii="Arial" w:hAnsi="Arial" w:cs="Arial"/>
              </w:rPr>
            </w:pPr>
          </w:p>
          <w:p w14:paraId="34AF92F4" w14:textId="77777777" w:rsidR="00A07913" w:rsidRPr="00A07913" w:rsidRDefault="00A07913" w:rsidP="00A0212E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Rarely checks for understanding unless prompted. </w:t>
            </w:r>
          </w:p>
        </w:tc>
      </w:tr>
      <w:tr w:rsidR="00A07913" w:rsidRPr="003D08E7" w14:paraId="34AF92FF" w14:textId="77777777" w:rsidTr="009E6DE6">
        <w:trPr>
          <w:cantSplit/>
          <w:trHeight w:val="1134"/>
        </w:trPr>
        <w:tc>
          <w:tcPr>
            <w:tcW w:w="425" w:type="dxa"/>
            <w:vMerge/>
          </w:tcPr>
          <w:p w14:paraId="6E91FA70" w14:textId="77777777" w:rsidR="00A07913" w:rsidRPr="003D08E7" w:rsidRDefault="00A07913" w:rsidP="009C46B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extDirection w:val="btLr"/>
          </w:tcPr>
          <w:p w14:paraId="34AF92F6" w14:textId="280BFA67" w:rsidR="00A07913" w:rsidRPr="00A07913" w:rsidRDefault="00A07913" w:rsidP="00A0791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07913"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  <w:tc>
          <w:tcPr>
            <w:tcW w:w="3119" w:type="dxa"/>
          </w:tcPr>
          <w:p w14:paraId="62206837" w14:textId="77777777" w:rsidR="00A07913" w:rsidRDefault="00A07913" w:rsidP="00A07913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Synthesizes important information from multiple pages of text to obtain literal and implied meanings. </w:t>
            </w:r>
          </w:p>
          <w:p w14:paraId="27E01A44" w14:textId="77777777" w:rsidR="00A07913" w:rsidRDefault="00A07913" w:rsidP="00A07913">
            <w:pPr>
              <w:rPr>
                <w:rFonts w:ascii="Arial" w:hAnsi="Arial" w:cs="Arial"/>
              </w:rPr>
            </w:pPr>
          </w:p>
          <w:p w14:paraId="34AF92F7" w14:textId="104AFD32" w:rsidR="00A07913" w:rsidRPr="00A07913" w:rsidRDefault="00A07913" w:rsidP="00A07913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Consistently expresses personal points of view and responds critically to grade-level texts. Provides precise details in their rationale. </w:t>
            </w:r>
          </w:p>
          <w:p w14:paraId="34AF92F8" w14:textId="77777777" w:rsidR="00A07913" w:rsidRPr="00A07913" w:rsidRDefault="00A07913" w:rsidP="00A0791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B5C77E5" w14:textId="77777777" w:rsidR="00A07913" w:rsidRDefault="00A07913" w:rsidP="006A1CA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Usually attends to important information in grade-level longer texts to obtain literal and implied meanings. </w:t>
            </w:r>
          </w:p>
          <w:p w14:paraId="470C4FCA" w14:textId="77777777" w:rsidR="00A07913" w:rsidRDefault="00A07913" w:rsidP="006A1CAD">
            <w:pPr>
              <w:rPr>
                <w:rFonts w:ascii="Arial" w:hAnsi="Arial" w:cs="Arial"/>
              </w:rPr>
            </w:pPr>
          </w:p>
          <w:p w14:paraId="34AF92FA" w14:textId="42EFF681" w:rsidR="00A07913" w:rsidRPr="00A07913" w:rsidRDefault="00A07913" w:rsidP="00F042EC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Often expresses personal points of view and responds critically to grade-level texts. Provides adequate details in their rationale. </w:t>
            </w:r>
          </w:p>
        </w:tc>
        <w:tc>
          <w:tcPr>
            <w:tcW w:w="3544" w:type="dxa"/>
          </w:tcPr>
          <w:p w14:paraId="3E5DD5BE" w14:textId="77777777" w:rsidR="00A07913" w:rsidRDefault="00A07913" w:rsidP="00BF5678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To some extent attends to important information in grade-level texts to obtain literal and implied meanings. </w:t>
            </w:r>
          </w:p>
          <w:p w14:paraId="4627217D" w14:textId="77777777" w:rsidR="00A07913" w:rsidRDefault="00A07913" w:rsidP="00BF5678">
            <w:pPr>
              <w:rPr>
                <w:rFonts w:ascii="Arial" w:hAnsi="Arial" w:cs="Arial"/>
              </w:rPr>
            </w:pPr>
          </w:p>
          <w:p w14:paraId="271DB861" w14:textId="6B0254AE" w:rsidR="00A07913" w:rsidRDefault="00A07913" w:rsidP="00BF5678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Occasionally expresses personal points of view and with prompting responds critically to grade-level texts. With prompting, provides adequate details in their rationale. </w:t>
            </w:r>
          </w:p>
          <w:p w14:paraId="53778CB3" w14:textId="77777777" w:rsidR="00A07913" w:rsidRDefault="00A07913" w:rsidP="00BF5678">
            <w:pPr>
              <w:rPr>
                <w:rFonts w:ascii="Arial" w:hAnsi="Arial" w:cs="Arial"/>
              </w:rPr>
            </w:pPr>
          </w:p>
          <w:p w14:paraId="34AF92FB" w14:textId="3DA96894" w:rsidR="00A07913" w:rsidRPr="00A07913" w:rsidRDefault="00A07913" w:rsidP="00BF5678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Demonstrates appropriate comprehension when reading texts below grade level . </w:t>
            </w:r>
          </w:p>
        </w:tc>
        <w:tc>
          <w:tcPr>
            <w:tcW w:w="3402" w:type="dxa"/>
          </w:tcPr>
          <w:p w14:paraId="3A372712" w14:textId="77777777" w:rsidR="00A07913" w:rsidRDefault="00A07913" w:rsidP="008D537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Has difficulty obtaining important information from grade-level texts.   </w:t>
            </w:r>
          </w:p>
          <w:p w14:paraId="464B42C5" w14:textId="77777777" w:rsidR="00A07913" w:rsidRDefault="00A07913" w:rsidP="008D537D">
            <w:pPr>
              <w:rPr>
                <w:rFonts w:ascii="Arial" w:hAnsi="Arial" w:cs="Arial"/>
              </w:rPr>
            </w:pPr>
          </w:p>
          <w:p w14:paraId="34AF92FC" w14:textId="70E2C277" w:rsidR="00A07913" w:rsidRPr="00A07913" w:rsidRDefault="00A07913" w:rsidP="008D537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>Demonstrates appropriate comprehension when reading texts well-below grade level.</w:t>
            </w:r>
          </w:p>
          <w:p w14:paraId="34AF92FD" w14:textId="77777777" w:rsidR="00A07913" w:rsidRPr="00A07913" w:rsidRDefault="00A07913" w:rsidP="008D537D">
            <w:pPr>
              <w:rPr>
                <w:rFonts w:ascii="Arial" w:hAnsi="Arial" w:cs="Arial"/>
              </w:rPr>
            </w:pPr>
          </w:p>
          <w:p w14:paraId="34AF92FE" w14:textId="77777777" w:rsidR="00A07913" w:rsidRPr="00A07913" w:rsidRDefault="00A07913" w:rsidP="00DB6623">
            <w:pPr>
              <w:rPr>
                <w:rFonts w:ascii="Arial" w:hAnsi="Arial" w:cs="Arial"/>
              </w:rPr>
            </w:pPr>
          </w:p>
        </w:tc>
      </w:tr>
      <w:tr w:rsidR="00A07913" w:rsidRPr="003D08E7" w14:paraId="72BF1E7F" w14:textId="77777777" w:rsidTr="009E6DE6">
        <w:trPr>
          <w:cantSplit/>
          <w:trHeight w:val="1134"/>
        </w:trPr>
        <w:tc>
          <w:tcPr>
            <w:tcW w:w="425" w:type="dxa"/>
            <w:vMerge/>
          </w:tcPr>
          <w:p w14:paraId="78708195" w14:textId="77777777" w:rsidR="00A07913" w:rsidRPr="003D08E7" w:rsidRDefault="00A07913" w:rsidP="004C467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extDirection w:val="btLr"/>
          </w:tcPr>
          <w:p w14:paraId="12E72D69" w14:textId="71417D4A" w:rsidR="00A07913" w:rsidRPr="00A07913" w:rsidRDefault="00A07913" w:rsidP="00A0791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07913">
              <w:rPr>
                <w:rFonts w:ascii="Arial" w:hAnsi="Arial" w:cs="Arial"/>
                <w:sz w:val="18"/>
                <w:szCs w:val="18"/>
              </w:rPr>
              <w:t xml:space="preserve">Level of Text Complexity </w:t>
            </w:r>
          </w:p>
          <w:p w14:paraId="2A21AD00" w14:textId="77777777" w:rsidR="00A07913" w:rsidRPr="00A07913" w:rsidRDefault="00A07913" w:rsidP="00A0791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F6B41C" w14:textId="49C5C04E" w:rsidR="00A07913" w:rsidRPr="00A07913" w:rsidRDefault="00A07913" w:rsidP="009C46BC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Independently selects and constructs meaning from texts at a complexity considered beyond the target level.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B689194" w14:textId="426F3BCA" w:rsidR="00A07913" w:rsidRPr="00A07913" w:rsidRDefault="00A07913" w:rsidP="006A1CA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Selects and constructs meaning from texts at a complexity considered at target level. </w:t>
            </w:r>
          </w:p>
        </w:tc>
        <w:tc>
          <w:tcPr>
            <w:tcW w:w="3544" w:type="dxa"/>
          </w:tcPr>
          <w:p w14:paraId="0AD08E81" w14:textId="77777777" w:rsidR="00A07913" w:rsidRDefault="00A07913" w:rsidP="00BF5678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Has some difficulty constructing meaning from texts at a complexity considered at target level. </w:t>
            </w:r>
          </w:p>
          <w:p w14:paraId="2059D795" w14:textId="77777777" w:rsidR="00A07913" w:rsidRDefault="00A07913" w:rsidP="00BF5678">
            <w:pPr>
              <w:rPr>
                <w:rFonts w:ascii="Arial" w:hAnsi="Arial" w:cs="Arial"/>
              </w:rPr>
            </w:pPr>
          </w:p>
          <w:p w14:paraId="55A5BAD3" w14:textId="7DF7A3F5" w:rsidR="00A07913" w:rsidRPr="00A07913" w:rsidRDefault="00A07913" w:rsidP="00BF5678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Reads independently somewhat below target (not more than one year below). </w:t>
            </w:r>
          </w:p>
        </w:tc>
        <w:tc>
          <w:tcPr>
            <w:tcW w:w="3402" w:type="dxa"/>
          </w:tcPr>
          <w:p w14:paraId="434559BC" w14:textId="77777777" w:rsidR="00A07913" w:rsidRDefault="00A07913" w:rsidP="008D537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Has a great deal of difficulty constructing meaning from texts at a complexity at target. </w:t>
            </w:r>
          </w:p>
          <w:p w14:paraId="799AEFAE" w14:textId="77777777" w:rsidR="00A07913" w:rsidRDefault="00A07913" w:rsidP="008D537D">
            <w:pPr>
              <w:rPr>
                <w:rFonts w:ascii="Arial" w:hAnsi="Arial" w:cs="Arial"/>
              </w:rPr>
            </w:pPr>
          </w:p>
          <w:p w14:paraId="31B0200F" w14:textId="569051B2" w:rsidR="00A07913" w:rsidRDefault="00A07913" w:rsidP="008D537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Finds sentence and vocabulary complexity challenging. </w:t>
            </w:r>
          </w:p>
          <w:p w14:paraId="15F7174B" w14:textId="77777777" w:rsidR="00A07913" w:rsidRDefault="00A07913" w:rsidP="008D537D">
            <w:pPr>
              <w:rPr>
                <w:rFonts w:ascii="Arial" w:hAnsi="Arial" w:cs="Arial"/>
              </w:rPr>
            </w:pPr>
          </w:p>
          <w:p w14:paraId="51FD053F" w14:textId="4CCAAA61" w:rsidR="00A07913" w:rsidRPr="00A07913" w:rsidRDefault="00A07913" w:rsidP="008D537D">
            <w:pPr>
              <w:rPr>
                <w:rFonts w:ascii="Arial" w:hAnsi="Arial" w:cs="Arial"/>
              </w:rPr>
            </w:pPr>
            <w:r w:rsidRPr="00A07913">
              <w:rPr>
                <w:rFonts w:ascii="Arial" w:hAnsi="Arial" w:cs="Arial"/>
              </w:rPr>
              <w:t xml:space="preserve">Reads well-below target level (more than one year below). </w:t>
            </w:r>
          </w:p>
        </w:tc>
      </w:tr>
      <w:tr w:rsidR="00A07913" w:rsidRPr="003D08E7" w14:paraId="3DEF9523" w14:textId="77777777" w:rsidTr="00EC670D">
        <w:tc>
          <w:tcPr>
            <w:tcW w:w="14459" w:type="dxa"/>
            <w:gridSpan w:val="6"/>
          </w:tcPr>
          <w:p w14:paraId="3FEF8873" w14:textId="0D8FE788" w:rsidR="00A07913" w:rsidRPr="003C2360" w:rsidRDefault="00A07913" w:rsidP="003C2360">
            <w:pPr>
              <w:widowControl w:val="0"/>
              <w:autoSpaceDE w:val="0"/>
              <w:autoSpaceDN w:val="0"/>
              <w:adjustRightInd w:val="0"/>
              <w:spacing w:before="60" w:after="60" w:line="210" w:lineRule="exact"/>
              <w:rPr>
                <w:rFonts w:ascii="Arial" w:hAnsi="Arial" w:cs="Arial"/>
                <w:sz w:val="16"/>
                <w:szCs w:val="16"/>
              </w:rPr>
            </w:pPr>
            <w:r w:rsidRPr="006824A3">
              <w:rPr>
                <w:rFonts w:ascii="Arial" w:hAnsi="Arial" w:cs="Arial"/>
                <w:sz w:val="16"/>
                <w:szCs w:val="16"/>
              </w:rPr>
              <w:t xml:space="preserve">End-of-grade text complexity for Grade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824A3">
              <w:rPr>
                <w:rFonts w:ascii="Arial" w:hAnsi="Arial" w:cs="Arial"/>
                <w:sz w:val="16"/>
                <w:szCs w:val="16"/>
              </w:rPr>
              <w:t xml:space="preserve"> students is described below. Indicators specific to literary and information texts are described in the </w:t>
            </w:r>
            <w:hyperlink r:id="rId12" w:history="1">
              <w:r w:rsidRPr="007A0615">
                <w:rPr>
                  <w:rStyle w:val="Hyperlink"/>
                  <w:rFonts w:ascii="Arial" w:hAnsi="Arial" w:cs="Arial"/>
                  <w:sz w:val="16"/>
                  <w:szCs w:val="16"/>
                </w:rPr>
                <w:t>standards guide.</w:t>
              </w:r>
            </w:hyperlink>
            <w:r w:rsidRPr="006824A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C20454C" w14:textId="13565413" w:rsidR="00A07913" w:rsidRPr="003C2360" w:rsidRDefault="00A07913" w:rsidP="003C236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C2360">
              <w:rPr>
                <w:b/>
                <w:sz w:val="16"/>
                <w:szCs w:val="16"/>
              </w:rPr>
              <w:t>Knowledge demands:</w:t>
            </w:r>
            <w:r w:rsidRPr="003C2360">
              <w:rPr>
                <w:sz w:val="16"/>
                <w:szCs w:val="16"/>
              </w:rPr>
              <w:t xml:space="preserve"> </w:t>
            </w:r>
            <w:r w:rsidRPr="003C2360">
              <w:rPr>
                <w:rFonts w:ascii="Arial" w:hAnsi="Arial" w:cs="Arial"/>
                <w:sz w:val="16"/>
                <w:szCs w:val="16"/>
              </w:rPr>
              <w:t>a range of genres, longer texts, beyond personal experiences, often requiring cultural, historical or social perspectives; topics that appeal to adolescents (e.g. pop culture, other worlds, fictitious societies)</w:t>
            </w:r>
          </w:p>
          <w:p w14:paraId="2D0F58A4" w14:textId="65094E6A" w:rsidR="00A07913" w:rsidRPr="003C2360" w:rsidRDefault="00A07913" w:rsidP="003C236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C2360">
              <w:rPr>
                <w:b/>
                <w:sz w:val="16"/>
                <w:szCs w:val="16"/>
              </w:rPr>
              <w:t>Themes</w:t>
            </w:r>
            <w:r w:rsidRPr="003C2360">
              <w:rPr>
                <w:sz w:val="16"/>
                <w:szCs w:val="16"/>
              </w:rPr>
              <w:t xml:space="preserve">: </w:t>
            </w:r>
            <w:r w:rsidRPr="003C2360">
              <w:rPr>
                <w:rFonts w:ascii="Arial" w:hAnsi="Arial" w:cs="Arial"/>
                <w:sz w:val="16"/>
                <w:szCs w:val="16"/>
              </w:rPr>
              <w:t>multidimensional mature theme/ideas (e.g. human problems: abuse, war, hardship, poverty, racism); age appropriate characters/ information requiring the reader to interpret and connect information/ideas with other texts and subject areas; sometimes themes that evoke alternative interpretations</w:t>
            </w:r>
          </w:p>
          <w:p w14:paraId="40C851F0" w14:textId="7DEA03EF" w:rsidR="00A07913" w:rsidRPr="003C2360" w:rsidRDefault="00A07913" w:rsidP="003C236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C2360">
              <w:rPr>
                <w:b/>
                <w:sz w:val="16"/>
                <w:szCs w:val="16"/>
              </w:rPr>
              <w:t>Sentences:</w:t>
            </w:r>
            <w:r w:rsidRPr="003C2360">
              <w:rPr>
                <w:sz w:val="16"/>
                <w:szCs w:val="16"/>
              </w:rPr>
              <w:t xml:space="preserve"> </w:t>
            </w:r>
            <w:r w:rsidRPr="003C2360">
              <w:rPr>
                <w:rFonts w:ascii="Arial" w:hAnsi="Arial" w:cs="Arial"/>
                <w:sz w:val="16"/>
                <w:szCs w:val="16"/>
              </w:rPr>
              <w:t>many complex sentence structures (including sentences greater than 30 words), more complicated use of dialogue; wide range of declarative, imperative and interrogative sentences; embedded phrases/ clauses</w:t>
            </w:r>
          </w:p>
          <w:p w14:paraId="5FFC2D2B" w14:textId="10BBC8F8" w:rsidR="00A07913" w:rsidRPr="003C2360" w:rsidRDefault="00A07913" w:rsidP="003C236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C2360">
              <w:rPr>
                <w:b/>
                <w:sz w:val="16"/>
                <w:szCs w:val="16"/>
              </w:rPr>
              <w:t>Language</w:t>
            </w:r>
            <w:r w:rsidRPr="003C2360">
              <w:rPr>
                <w:sz w:val="16"/>
                <w:szCs w:val="16"/>
              </w:rPr>
              <w:t xml:space="preserve">: </w:t>
            </w:r>
            <w:r w:rsidRPr="003C2360">
              <w:rPr>
                <w:rFonts w:ascii="Arial" w:hAnsi="Arial" w:cs="Arial"/>
                <w:sz w:val="16"/>
                <w:szCs w:val="16"/>
              </w:rPr>
              <w:t>challenging language (need context, glossary/dictionary); wide range of literary devices (e.g., figurative language, symbolism, flashbacks); dialects (regional/historical); some words from other languages</w:t>
            </w:r>
          </w:p>
          <w:p w14:paraId="685DA150" w14:textId="47F58B52" w:rsidR="00A07913" w:rsidRPr="003C2360" w:rsidRDefault="00A07913" w:rsidP="003C236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C2360">
              <w:rPr>
                <w:b/>
                <w:sz w:val="16"/>
                <w:szCs w:val="16"/>
              </w:rPr>
              <w:t>Word complexity:</w:t>
            </w:r>
            <w:r w:rsidRPr="003C2360">
              <w:rPr>
                <w:rFonts w:ascii="Arial" w:hAnsi="Arial" w:cs="Arial"/>
                <w:sz w:val="16"/>
                <w:szCs w:val="16"/>
              </w:rPr>
              <w:t xml:space="preserve"> many words greater than three syllables (requires knowledge of root words/affixes), complex plurals/spelling patterns, many nouns/technical words that are difficult to decode</w:t>
            </w:r>
          </w:p>
          <w:p w14:paraId="6B0259F8" w14:textId="25B54EA3" w:rsidR="00A07913" w:rsidRPr="003C2360" w:rsidRDefault="003C2360" w:rsidP="003C236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C2360">
              <w:rPr>
                <w:b/>
                <w:sz w:val="16"/>
                <w:szCs w:val="16"/>
              </w:rPr>
              <w:t>Graphics/Illustrations:</w:t>
            </w:r>
            <w:r w:rsidRPr="003C2360">
              <w:rPr>
                <w:sz w:val="16"/>
                <w:szCs w:val="16"/>
              </w:rPr>
              <w:t xml:space="preserve"> </w:t>
            </w:r>
            <w:r w:rsidR="00A07913" w:rsidRPr="003C2360">
              <w:rPr>
                <w:rFonts w:ascii="Arial" w:hAnsi="Arial" w:cs="Arial"/>
                <w:sz w:val="16"/>
                <w:szCs w:val="16"/>
              </w:rPr>
              <w:t>variety illustrations/photographs/complex graphics that match/add meaning/extend text; much literary text with no or few illustrations</w:t>
            </w:r>
          </w:p>
          <w:p w14:paraId="37B53644" w14:textId="1DEE590A" w:rsidR="00A07913" w:rsidRPr="003C2360" w:rsidRDefault="003C2360" w:rsidP="003C2360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3C2360">
              <w:rPr>
                <w:b/>
                <w:sz w:val="16"/>
                <w:szCs w:val="16"/>
              </w:rPr>
              <w:t>Layout</w:t>
            </w:r>
            <w:r w:rsidRPr="003C2360">
              <w:rPr>
                <w:sz w:val="16"/>
                <w:szCs w:val="16"/>
              </w:rPr>
              <w:t xml:space="preserve">: </w:t>
            </w:r>
            <w:r w:rsidR="00A07913" w:rsidRPr="003C2360">
              <w:rPr>
                <w:rFonts w:ascii="Arial" w:hAnsi="Arial" w:cs="Arial"/>
                <w:sz w:val="16"/>
                <w:szCs w:val="16"/>
              </w:rPr>
              <w:t>many lines of print on a page; variation in layout/print styles/font within the same text (some examples of dense print); wide range of punctuation; often include readers’ tools (e.g. glossary, pronunciation guide)</w:t>
            </w:r>
          </w:p>
        </w:tc>
      </w:tr>
      <w:tr w:rsidR="00A07913" w:rsidRPr="003D08E7" w14:paraId="2469357D" w14:textId="77777777" w:rsidTr="00EC670D">
        <w:tc>
          <w:tcPr>
            <w:tcW w:w="14459" w:type="dxa"/>
            <w:gridSpan w:val="6"/>
          </w:tcPr>
          <w:p w14:paraId="4BE17C45" w14:textId="44034B8B" w:rsidR="00A07913" w:rsidRPr="003D08E7" w:rsidRDefault="00A07913" w:rsidP="00AB3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Evidence: student reading logs, student conference notes, reading survey, </w:t>
            </w:r>
            <w:r w:rsidR="00AB35DF">
              <w:rPr>
                <w:rFonts w:ascii="Arial" w:hAnsi="Arial" w:cs="Arial"/>
              </w:rPr>
              <w:t>close reading sample, b</w:t>
            </w:r>
            <w:r>
              <w:rPr>
                <w:rFonts w:ascii="Arial" w:hAnsi="Arial" w:cs="Arial"/>
              </w:rPr>
              <w:t xml:space="preserve">ook </w:t>
            </w:r>
            <w:r w:rsidR="00AB35D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alks, reading response, personal reading goals, checklists, portfolio contents and observation checklists for strategies and behaviours, ACRAR Reading Assessment, OCA</w:t>
            </w:r>
          </w:p>
        </w:tc>
      </w:tr>
    </w:tbl>
    <w:p w14:paraId="6C0950E9" w14:textId="77777777" w:rsidR="001B7B21" w:rsidRPr="00555359" w:rsidRDefault="001B7B21" w:rsidP="00315509">
      <w:pPr>
        <w:rPr>
          <w:rFonts w:ascii="Arial" w:hAnsi="Arial" w:cs="Arial"/>
          <w:b/>
          <w:sz w:val="16"/>
          <w:szCs w:val="16"/>
        </w:rPr>
      </w:pPr>
    </w:p>
    <w:p w14:paraId="34AF9300" w14:textId="20F54B2A" w:rsidR="004D2DBB" w:rsidRDefault="004D2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402"/>
        <w:gridCol w:w="3402"/>
        <w:gridCol w:w="3402"/>
        <w:gridCol w:w="2977"/>
      </w:tblGrid>
      <w:tr w:rsidR="00091D26" w:rsidRPr="003D08E7" w14:paraId="34AF9306" w14:textId="77777777" w:rsidTr="00091D26">
        <w:tc>
          <w:tcPr>
            <w:tcW w:w="709" w:type="dxa"/>
            <w:vMerge w:val="restart"/>
            <w:shd w:val="clear" w:color="auto" w:fill="C6D9F1" w:themeFill="text2" w:themeFillTint="33"/>
            <w:textDirection w:val="btLr"/>
          </w:tcPr>
          <w:p w14:paraId="7669A3A4" w14:textId="2ED02347" w:rsidR="00091D26" w:rsidRPr="003D08E7" w:rsidRDefault="00091D26" w:rsidP="004D2DBB">
            <w:pPr>
              <w:ind w:left="113" w:right="113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  <w:b/>
              </w:rPr>
              <w:t>Writing and Representing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4AF9301" w14:textId="03C9F932" w:rsidR="00091D26" w:rsidRPr="003D08E7" w:rsidRDefault="00091D26" w:rsidP="003D08E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4AF9302" w14:textId="6F6CF89E" w:rsidR="00091D26" w:rsidRPr="003D08E7" w:rsidRDefault="00091D26" w:rsidP="008B3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Excelling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4AF9303" w14:textId="77777777" w:rsidR="00091D26" w:rsidRPr="003D08E7" w:rsidRDefault="00091D26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3 - 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4AF9304" w14:textId="77777777" w:rsidR="00091D26" w:rsidRPr="003D08E7" w:rsidRDefault="00091D26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2 - Approaching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4AF9305" w14:textId="77777777" w:rsidR="00091D26" w:rsidRPr="003D08E7" w:rsidRDefault="00091D26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1 -Working Below</w:t>
            </w:r>
          </w:p>
        </w:tc>
      </w:tr>
      <w:tr w:rsidR="00091D26" w:rsidRPr="003D08E7" w14:paraId="34AF930C" w14:textId="77777777" w:rsidTr="009E6DE6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14:paraId="1C2AEC04" w14:textId="4B0235A0" w:rsidR="00091D26" w:rsidRPr="003D08E7" w:rsidRDefault="00091D26" w:rsidP="004D2DB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</w:tcPr>
          <w:p w14:paraId="34AF9307" w14:textId="4DB7B86C" w:rsidR="00091D26" w:rsidRPr="003D08E7" w:rsidRDefault="00091D26" w:rsidP="004D2DBB">
            <w:pPr>
              <w:ind w:left="113" w:right="113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3402" w:type="dxa"/>
          </w:tcPr>
          <w:p w14:paraId="061A13DF" w14:textId="77777777" w:rsidR="00091D26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Efficiently employs grade-level strategies to generate a collection of drafts and pieces of drafts. </w:t>
            </w:r>
          </w:p>
          <w:p w14:paraId="0AB79F61" w14:textId="77777777" w:rsidR="00091D26" w:rsidRDefault="00091D26" w:rsidP="003F6AD8">
            <w:pPr>
              <w:rPr>
                <w:rFonts w:ascii="Arial" w:hAnsi="Arial" w:cs="Arial"/>
              </w:rPr>
            </w:pPr>
          </w:p>
          <w:p w14:paraId="215F0311" w14:textId="77777777" w:rsidR="00091D26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Frequently elicits advice to strengthen content. Self-selects writing tools to complete the process. </w:t>
            </w:r>
          </w:p>
          <w:p w14:paraId="4BC294D8" w14:textId="77777777" w:rsidR="00091D26" w:rsidRDefault="00091D26" w:rsidP="003F6AD8">
            <w:pPr>
              <w:rPr>
                <w:rFonts w:ascii="Arial" w:hAnsi="Arial" w:cs="Arial"/>
              </w:rPr>
            </w:pPr>
          </w:p>
          <w:p w14:paraId="34AF9308" w14:textId="55056A0F" w:rsidR="00091D26" w:rsidRPr="003D08E7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Tries out new techniques/ideas independently.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16A021D" w14:textId="77777777" w:rsidR="00091D26" w:rsidRDefault="00091D26" w:rsidP="00BE518B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Efficiently employs grade-level strategies to generate a collection of drafts and pieces of drafts. </w:t>
            </w:r>
          </w:p>
          <w:p w14:paraId="192EAB10" w14:textId="77777777" w:rsidR="00091D26" w:rsidRDefault="00091D26" w:rsidP="00BE518B">
            <w:pPr>
              <w:rPr>
                <w:rFonts w:ascii="Arial" w:hAnsi="Arial" w:cs="Arial"/>
              </w:rPr>
            </w:pPr>
          </w:p>
          <w:p w14:paraId="2E6538AA" w14:textId="77777777" w:rsidR="00091D26" w:rsidRDefault="00091D26" w:rsidP="00BE518B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Explains form choice, and routinely uses advice to strengthen content. </w:t>
            </w:r>
          </w:p>
          <w:p w14:paraId="1672726E" w14:textId="77777777" w:rsidR="00091D26" w:rsidRDefault="00091D26" w:rsidP="00BE518B">
            <w:pPr>
              <w:rPr>
                <w:rFonts w:ascii="Arial" w:hAnsi="Arial" w:cs="Arial"/>
              </w:rPr>
            </w:pPr>
          </w:p>
          <w:p w14:paraId="7FA500C1" w14:textId="77777777" w:rsidR="00091D26" w:rsidRDefault="00091D26" w:rsidP="00BE518B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Needs minimal support to select writing tools to complete the process. </w:t>
            </w:r>
          </w:p>
          <w:p w14:paraId="3C9B0015" w14:textId="77777777" w:rsidR="00091D26" w:rsidRDefault="00091D26" w:rsidP="00BE518B">
            <w:pPr>
              <w:rPr>
                <w:rFonts w:ascii="Arial" w:hAnsi="Arial" w:cs="Arial"/>
              </w:rPr>
            </w:pPr>
          </w:p>
          <w:p w14:paraId="34AF9309" w14:textId="781AF0F6" w:rsidR="00091D26" w:rsidRPr="003D08E7" w:rsidRDefault="00091D26" w:rsidP="00BE518B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Tries out new techniques/ideas (e.g., hybrid texts)</w:t>
            </w:r>
          </w:p>
        </w:tc>
        <w:tc>
          <w:tcPr>
            <w:tcW w:w="3402" w:type="dxa"/>
          </w:tcPr>
          <w:p w14:paraId="3F9CB60F" w14:textId="77777777" w:rsidR="00091D26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With some support uses grade-level strategies to generate drafts and pieces of drafts. </w:t>
            </w:r>
          </w:p>
          <w:p w14:paraId="1CB2B80C" w14:textId="77777777" w:rsidR="00091D26" w:rsidRDefault="00091D26" w:rsidP="003F6AD8">
            <w:pPr>
              <w:rPr>
                <w:rFonts w:ascii="Arial" w:hAnsi="Arial" w:cs="Arial"/>
              </w:rPr>
            </w:pPr>
          </w:p>
          <w:p w14:paraId="0F4B6853" w14:textId="77777777" w:rsidR="00091D26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Occasionally makes revisions, but needs support to use writing tools and to complete a piece through the process. </w:t>
            </w:r>
          </w:p>
          <w:p w14:paraId="730281D7" w14:textId="77777777" w:rsidR="00091D26" w:rsidRDefault="00091D26" w:rsidP="003F6AD8">
            <w:pPr>
              <w:rPr>
                <w:rFonts w:ascii="Arial" w:hAnsi="Arial" w:cs="Arial"/>
              </w:rPr>
            </w:pPr>
          </w:p>
          <w:p w14:paraId="34AF930A" w14:textId="5AEDE1F6" w:rsidR="00091D26" w:rsidRPr="003D08E7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With prompting, tries new techniques/ideas.</w:t>
            </w:r>
          </w:p>
        </w:tc>
        <w:tc>
          <w:tcPr>
            <w:tcW w:w="2977" w:type="dxa"/>
          </w:tcPr>
          <w:p w14:paraId="423C0F63" w14:textId="77777777" w:rsidR="00091D26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Hardly ever uses grade-level strategies to generate writing. </w:t>
            </w:r>
          </w:p>
          <w:p w14:paraId="1BF2ED8B" w14:textId="77777777" w:rsidR="00091D26" w:rsidRDefault="00091D26" w:rsidP="003F6AD8">
            <w:pPr>
              <w:rPr>
                <w:rFonts w:ascii="Arial" w:hAnsi="Arial" w:cs="Arial"/>
              </w:rPr>
            </w:pPr>
          </w:p>
          <w:p w14:paraId="518F9E20" w14:textId="77777777" w:rsidR="00091D26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Not able to independently complete a piece of writing. </w:t>
            </w:r>
          </w:p>
          <w:p w14:paraId="01C50D89" w14:textId="77777777" w:rsidR="00091D26" w:rsidRDefault="00091D26" w:rsidP="003F6AD8">
            <w:pPr>
              <w:rPr>
                <w:rFonts w:ascii="Arial" w:hAnsi="Arial" w:cs="Arial"/>
              </w:rPr>
            </w:pPr>
          </w:p>
          <w:p w14:paraId="34AF930B" w14:textId="0DB2070C" w:rsidR="00091D26" w:rsidRPr="003D08E7" w:rsidRDefault="00091D2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Resists using writing tools or uses them ineffectively.</w:t>
            </w:r>
          </w:p>
        </w:tc>
      </w:tr>
      <w:tr w:rsidR="00091D26" w:rsidRPr="003D08E7" w14:paraId="34AF9312" w14:textId="77777777" w:rsidTr="009E6DE6">
        <w:trPr>
          <w:cantSplit/>
          <w:trHeight w:val="1134"/>
        </w:trPr>
        <w:tc>
          <w:tcPr>
            <w:tcW w:w="709" w:type="dxa"/>
            <w:vMerge/>
          </w:tcPr>
          <w:p w14:paraId="4BFFAFD4" w14:textId="77777777" w:rsidR="00091D26" w:rsidRPr="003D08E7" w:rsidRDefault="00091D26" w:rsidP="00962F6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</w:tcPr>
          <w:p w14:paraId="34AF930D" w14:textId="35AD14B2" w:rsidR="00091D26" w:rsidRPr="003D08E7" w:rsidRDefault="00091D26" w:rsidP="004D2DBB">
            <w:pPr>
              <w:ind w:left="113" w:right="113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Traits</w:t>
            </w:r>
          </w:p>
        </w:tc>
        <w:tc>
          <w:tcPr>
            <w:tcW w:w="3402" w:type="dxa"/>
          </w:tcPr>
          <w:p w14:paraId="73D48430" w14:textId="77777777" w:rsidR="00091D26" w:rsidRDefault="00091D26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Demonstrates </w:t>
            </w:r>
            <w:r w:rsidRPr="00315509">
              <w:rPr>
                <w:rFonts w:ascii="Arial" w:hAnsi="Arial" w:cs="Arial"/>
                <w:u w:val="single"/>
              </w:rPr>
              <w:t>all</w:t>
            </w:r>
            <w:r w:rsidRPr="003D08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315509">
              <w:rPr>
                <w:rFonts w:ascii="Arial" w:hAnsi="Arial" w:cs="Arial"/>
                <w:u w:val="single"/>
              </w:rPr>
              <w:t>strong</w:t>
            </w:r>
            <w:r w:rsidRPr="003D08E7">
              <w:rPr>
                <w:rFonts w:ascii="Arial" w:hAnsi="Arial" w:cs="Arial"/>
              </w:rPr>
              <w:t xml:space="preserve"> writing as evidenced over</w:t>
            </w:r>
            <w:r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time in multiple pieces. </w:t>
            </w:r>
          </w:p>
          <w:p w14:paraId="448C70B0" w14:textId="77777777" w:rsidR="00091D26" w:rsidRDefault="00091D26" w:rsidP="00962F62">
            <w:pPr>
              <w:rPr>
                <w:rFonts w:ascii="Arial" w:hAnsi="Arial" w:cs="Arial"/>
              </w:rPr>
            </w:pPr>
          </w:p>
          <w:p w14:paraId="34AF930E" w14:textId="3AE028DD" w:rsidR="00091D26" w:rsidRPr="003D08E7" w:rsidRDefault="00091D26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Published pieces are purposeful and easy to understand, with few errors.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ACBF7F0" w14:textId="77777777" w:rsidR="00091D26" w:rsidRDefault="00091D26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Demonstrates </w:t>
            </w:r>
            <w:r w:rsidRPr="00315509">
              <w:rPr>
                <w:rFonts w:ascii="Arial" w:hAnsi="Arial" w:cs="Arial"/>
                <w:u w:val="single"/>
              </w:rPr>
              <w:t>all</w:t>
            </w:r>
            <w:r w:rsidRPr="003D08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315509">
              <w:rPr>
                <w:rFonts w:ascii="Arial" w:hAnsi="Arial" w:cs="Arial"/>
                <w:u w:val="single"/>
              </w:rPr>
              <w:t>appropriate</w:t>
            </w:r>
            <w:r w:rsidRPr="003D08E7">
              <w:rPr>
                <w:rFonts w:ascii="Arial" w:hAnsi="Arial" w:cs="Arial"/>
              </w:rPr>
              <w:t xml:space="preserve"> writing as evidenced over</w:t>
            </w:r>
            <w:r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time in multiple pieces. </w:t>
            </w:r>
          </w:p>
          <w:p w14:paraId="63FC3274" w14:textId="77777777" w:rsidR="00091D26" w:rsidRDefault="00091D26" w:rsidP="00962F62">
            <w:pPr>
              <w:rPr>
                <w:rFonts w:ascii="Arial" w:hAnsi="Arial" w:cs="Arial"/>
              </w:rPr>
            </w:pPr>
          </w:p>
          <w:p w14:paraId="34AF930F" w14:textId="5DF39085" w:rsidR="00091D26" w:rsidRPr="003D08E7" w:rsidRDefault="00091D26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Published pieces are clear with enough specific information to communicate the writing purpose. Errors do not interfere with meaning.</w:t>
            </w:r>
          </w:p>
        </w:tc>
        <w:tc>
          <w:tcPr>
            <w:tcW w:w="3402" w:type="dxa"/>
          </w:tcPr>
          <w:p w14:paraId="5D287ACF" w14:textId="77777777" w:rsidR="00091D26" w:rsidRDefault="00091D26" w:rsidP="00342C7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Demonstrates </w:t>
            </w:r>
            <w:r w:rsidRPr="00315509">
              <w:rPr>
                <w:rFonts w:ascii="Arial" w:hAnsi="Arial" w:cs="Arial"/>
                <w:u w:val="single"/>
              </w:rPr>
              <w:t>most</w:t>
            </w:r>
            <w:r w:rsidRPr="003D08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315509">
              <w:rPr>
                <w:rFonts w:ascii="Arial" w:hAnsi="Arial" w:cs="Arial"/>
                <w:u w:val="single"/>
              </w:rPr>
              <w:t>appropriate</w:t>
            </w:r>
            <w:r w:rsidRPr="003D08E7">
              <w:rPr>
                <w:rFonts w:ascii="Arial" w:hAnsi="Arial" w:cs="Arial"/>
              </w:rPr>
              <w:t xml:space="preserve"> writing as evidenced over</w:t>
            </w:r>
            <w:r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time in pieces. </w:t>
            </w:r>
          </w:p>
          <w:p w14:paraId="0B92EB8E" w14:textId="77777777" w:rsidR="00091D26" w:rsidRDefault="00091D26" w:rsidP="00342C74">
            <w:pPr>
              <w:rPr>
                <w:rFonts w:ascii="Arial" w:hAnsi="Arial" w:cs="Arial"/>
              </w:rPr>
            </w:pPr>
          </w:p>
          <w:p w14:paraId="34AF9310" w14:textId="74FC3BE6" w:rsidR="00091D26" w:rsidRPr="003D08E7" w:rsidRDefault="00091D26" w:rsidP="00342C7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Published pieces may be unfocussed in places but the writing meets basic requirements to communicate the purpose. Overall, meaning is evident.</w:t>
            </w:r>
          </w:p>
        </w:tc>
        <w:tc>
          <w:tcPr>
            <w:tcW w:w="2977" w:type="dxa"/>
          </w:tcPr>
          <w:p w14:paraId="1E6369F3" w14:textId="77777777" w:rsidR="00091D26" w:rsidRDefault="00091D26" w:rsidP="00826F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May demonstrate some aspects (content, organization, word choice, voice, sentence structure, conventions) of appropriate writing as shown in evidence over</w:t>
            </w:r>
            <w:r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time but drafts and pieces of drafts may be repetitive, copied, unclear, or unfocused. </w:t>
            </w:r>
          </w:p>
          <w:p w14:paraId="5F93C441" w14:textId="77777777" w:rsidR="00091D26" w:rsidRDefault="00091D26" w:rsidP="00826FD8">
            <w:pPr>
              <w:rPr>
                <w:rFonts w:ascii="Arial" w:hAnsi="Arial" w:cs="Arial"/>
              </w:rPr>
            </w:pPr>
          </w:p>
          <w:p w14:paraId="34AF9311" w14:textId="66E44E11" w:rsidR="00091D26" w:rsidRPr="003D08E7" w:rsidRDefault="00091D26" w:rsidP="00826F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Published pieces are difficult to follow and do not meet basic requirements. Errors interfere with meaning.</w:t>
            </w:r>
          </w:p>
        </w:tc>
      </w:tr>
      <w:tr w:rsidR="003C2360" w:rsidRPr="003D08E7" w14:paraId="34AF9318" w14:textId="77777777" w:rsidTr="009E6DE6">
        <w:trPr>
          <w:cantSplit/>
          <w:trHeight w:val="1134"/>
        </w:trPr>
        <w:tc>
          <w:tcPr>
            <w:tcW w:w="709" w:type="dxa"/>
          </w:tcPr>
          <w:p w14:paraId="1B7F8816" w14:textId="77777777" w:rsidR="003C2360" w:rsidRDefault="003C2360" w:rsidP="00E24A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</w:tcPr>
          <w:p w14:paraId="34AF9313" w14:textId="2B093694" w:rsidR="003C2360" w:rsidRPr="003D08E7" w:rsidRDefault="003C2360" w:rsidP="004D2DBB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Pr="003D08E7">
              <w:rPr>
                <w:rFonts w:ascii="Arial" w:hAnsi="Arial" w:cs="Arial"/>
              </w:rPr>
              <w:t>Forms</w:t>
            </w:r>
          </w:p>
        </w:tc>
        <w:tc>
          <w:tcPr>
            <w:tcW w:w="3402" w:type="dxa"/>
          </w:tcPr>
          <w:p w14:paraId="34AF9314" w14:textId="77777777" w:rsidR="003C2360" w:rsidRPr="003D08E7" w:rsidRDefault="003C2360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Skilfully selects and explains forms and presentation mode (written, visual, multimedia) based on audience and purpose. Thoughtfully includes structures and features according to form.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4AF9315" w14:textId="77777777" w:rsidR="003C2360" w:rsidRPr="003D08E7" w:rsidRDefault="003C2360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Selects and explains forms and presentation mode (written, visual, multimedia) based on audience and purpose. Generally includes structures and features according to form.</w:t>
            </w:r>
          </w:p>
        </w:tc>
        <w:tc>
          <w:tcPr>
            <w:tcW w:w="3402" w:type="dxa"/>
          </w:tcPr>
          <w:p w14:paraId="34AF9316" w14:textId="77777777" w:rsidR="003C2360" w:rsidRPr="003D08E7" w:rsidRDefault="003C2360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With some prompting selects and explains forms and presentation mode (written, visual, multimedia) based on audience and purpose. With support, includes structures and features according to form.</w:t>
            </w:r>
          </w:p>
        </w:tc>
        <w:tc>
          <w:tcPr>
            <w:tcW w:w="2977" w:type="dxa"/>
          </w:tcPr>
          <w:p w14:paraId="34AF9317" w14:textId="77777777" w:rsidR="003C2360" w:rsidRPr="003D08E7" w:rsidRDefault="003C2360" w:rsidP="0091586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Is unable to select forms and Presentation mode based on audience and purpose. May include structures or features that are inappropriate and/or omit those that are expected. </w:t>
            </w:r>
          </w:p>
        </w:tc>
      </w:tr>
      <w:tr w:rsidR="00091D26" w:rsidRPr="003D08E7" w14:paraId="53D1E5FE" w14:textId="77777777" w:rsidTr="00051A6C">
        <w:tc>
          <w:tcPr>
            <w:tcW w:w="14459" w:type="dxa"/>
            <w:gridSpan w:val="6"/>
          </w:tcPr>
          <w:p w14:paraId="3A93D151" w14:textId="43A92C6F" w:rsidR="00091D26" w:rsidRPr="003D08E7" w:rsidRDefault="00091D26" w:rsidP="0091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Evidence:  Quick writes, Writer’s Notebook entries, pre-writing work, checklists, conference notes, peer assessment, writing reflections, exit slips, writing portfolio, word work, published pieces.</w:t>
            </w:r>
          </w:p>
        </w:tc>
      </w:tr>
    </w:tbl>
    <w:p w14:paraId="34AF9319" w14:textId="77777777" w:rsidR="00470FC3" w:rsidRPr="00555359" w:rsidRDefault="00470FC3" w:rsidP="00555359">
      <w:pPr>
        <w:rPr>
          <w:sz w:val="16"/>
          <w:szCs w:val="16"/>
        </w:rPr>
      </w:pPr>
    </w:p>
    <w:sectPr w:rsidR="00470FC3" w:rsidRPr="00555359" w:rsidSect="001B7B21">
      <w:headerReference w:type="default" r:id="rId13"/>
      <w:footerReference w:type="default" r:id="rId14"/>
      <w:pgSz w:w="15840" w:h="12240" w:orient="landscape"/>
      <w:pgMar w:top="1800" w:right="851" w:bottom="156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93ED" w14:textId="77777777" w:rsidR="004727F9" w:rsidRDefault="004727F9" w:rsidP="00FF090C">
      <w:r>
        <w:separator/>
      </w:r>
    </w:p>
  </w:endnote>
  <w:endnote w:type="continuationSeparator" w:id="0">
    <w:p w14:paraId="5BB82D99" w14:textId="77777777" w:rsidR="004727F9" w:rsidRDefault="004727F9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3C2A" w14:textId="1E26F660" w:rsidR="00A0786E" w:rsidRDefault="00A078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8211D" w:rsidRPr="0078211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4AF9322" w14:textId="77777777" w:rsidR="003D08E7" w:rsidRDefault="003D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18EFE" w14:textId="77777777" w:rsidR="004727F9" w:rsidRDefault="004727F9" w:rsidP="00FF090C">
      <w:r>
        <w:separator/>
      </w:r>
    </w:p>
  </w:footnote>
  <w:footnote w:type="continuationSeparator" w:id="0">
    <w:p w14:paraId="1B219EC6" w14:textId="77777777" w:rsidR="004727F9" w:rsidRDefault="004727F9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931E" w14:textId="77777777" w:rsidR="00667D12" w:rsidRPr="00A019C9" w:rsidRDefault="00667D12" w:rsidP="00667D12">
    <w:pPr>
      <w:jc w:val="center"/>
      <w:rPr>
        <w:rFonts w:ascii="Arial" w:hAnsi="Arial" w:cs="Arial"/>
        <w:b/>
        <w:sz w:val="28"/>
        <w:szCs w:val="28"/>
      </w:rPr>
    </w:pPr>
    <w:r w:rsidRPr="00A019C9">
      <w:rPr>
        <w:rFonts w:ascii="Arial" w:hAnsi="Arial" w:cs="Arial"/>
        <w:b/>
        <w:sz w:val="28"/>
        <w:szCs w:val="28"/>
      </w:rPr>
      <w:t xml:space="preserve">English Language Arts </w:t>
    </w:r>
    <w:r w:rsidR="003D08E7">
      <w:rPr>
        <w:rFonts w:ascii="Arial" w:hAnsi="Arial" w:cs="Arial"/>
        <w:b/>
        <w:sz w:val="28"/>
        <w:szCs w:val="28"/>
      </w:rPr>
      <w:t>-</w:t>
    </w:r>
    <w:r w:rsidRPr="00A019C9">
      <w:rPr>
        <w:rFonts w:ascii="Arial" w:hAnsi="Arial" w:cs="Arial"/>
        <w:b/>
        <w:sz w:val="28"/>
        <w:szCs w:val="28"/>
      </w:rPr>
      <w:t xml:space="preserve"> Grade 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256"/>
    <w:multiLevelType w:val="hybridMultilevel"/>
    <w:tmpl w:val="3EBABF86"/>
    <w:lvl w:ilvl="0" w:tplc="44EA1F5A">
      <w:start w:val="22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3D1291"/>
    <w:multiLevelType w:val="hybridMultilevel"/>
    <w:tmpl w:val="E78A18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0"/>
    <w:rsid w:val="0002243A"/>
    <w:rsid w:val="0003283F"/>
    <w:rsid w:val="00042B7F"/>
    <w:rsid w:val="00072012"/>
    <w:rsid w:val="0008638D"/>
    <w:rsid w:val="00091D26"/>
    <w:rsid w:val="000A1F25"/>
    <w:rsid w:val="000A5561"/>
    <w:rsid w:val="0011164D"/>
    <w:rsid w:val="00115558"/>
    <w:rsid w:val="00115FE7"/>
    <w:rsid w:val="001255EE"/>
    <w:rsid w:val="00145194"/>
    <w:rsid w:val="0014655A"/>
    <w:rsid w:val="00152ACA"/>
    <w:rsid w:val="0015712B"/>
    <w:rsid w:val="00157A0D"/>
    <w:rsid w:val="00163F6B"/>
    <w:rsid w:val="00183CB8"/>
    <w:rsid w:val="001B7B21"/>
    <w:rsid w:val="001D06CC"/>
    <w:rsid w:val="001D24BB"/>
    <w:rsid w:val="001E7576"/>
    <w:rsid w:val="001F509F"/>
    <w:rsid w:val="001F7348"/>
    <w:rsid w:val="00202296"/>
    <w:rsid w:val="00211060"/>
    <w:rsid w:val="00211324"/>
    <w:rsid w:val="00211372"/>
    <w:rsid w:val="002511BF"/>
    <w:rsid w:val="0025212D"/>
    <w:rsid w:val="002658A1"/>
    <w:rsid w:val="00271B0F"/>
    <w:rsid w:val="00282A2B"/>
    <w:rsid w:val="0028491A"/>
    <w:rsid w:val="0029669A"/>
    <w:rsid w:val="002A3639"/>
    <w:rsid w:val="002B106A"/>
    <w:rsid w:val="002C559A"/>
    <w:rsid w:val="002C71EB"/>
    <w:rsid w:val="002D7167"/>
    <w:rsid w:val="00315509"/>
    <w:rsid w:val="003207E8"/>
    <w:rsid w:val="00342C74"/>
    <w:rsid w:val="0036566B"/>
    <w:rsid w:val="00366DDB"/>
    <w:rsid w:val="0039004F"/>
    <w:rsid w:val="003A2CA3"/>
    <w:rsid w:val="003A2E2F"/>
    <w:rsid w:val="003A3044"/>
    <w:rsid w:val="003C2360"/>
    <w:rsid w:val="003C4C9A"/>
    <w:rsid w:val="003D08E7"/>
    <w:rsid w:val="003D1D20"/>
    <w:rsid w:val="003D24DD"/>
    <w:rsid w:val="003D4B82"/>
    <w:rsid w:val="003F3780"/>
    <w:rsid w:val="003F6AD8"/>
    <w:rsid w:val="00433A3F"/>
    <w:rsid w:val="00436739"/>
    <w:rsid w:val="00462F45"/>
    <w:rsid w:val="00470FC3"/>
    <w:rsid w:val="004727F9"/>
    <w:rsid w:val="0048185A"/>
    <w:rsid w:val="00492412"/>
    <w:rsid w:val="00496F13"/>
    <w:rsid w:val="004A0832"/>
    <w:rsid w:val="004A151E"/>
    <w:rsid w:val="004A41F8"/>
    <w:rsid w:val="004B09E4"/>
    <w:rsid w:val="004C0E02"/>
    <w:rsid w:val="004D2DBB"/>
    <w:rsid w:val="004E1067"/>
    <w:rsid w:val="004E4E59"/>
    <w:rsid w:val="004E626E"/>
    <w:rsid w:val="00524349"/>
    <w:rsid w:val="00532AFB"/>
    <w:rsid w:val="005515A6"/>
    <w:rsid w:val="00555359"/>
    <w:rsid w:val="005578A7"/>
    <w:rsid w:val="00563077"/>
    <w:rsid w:val="00590528"/>
    <w:rsid w:val="005B0A6D"/>
    <w:rsid w:val="005C0E34"/>
    <w:rsid w:val="005C18B1"/>
    <w:rsid w:val="005C6E40"/>
    <w:rsid w:val="005D203A"/>
    <w:rsid w:val="005D602C"/>
    <w:rsid w:val="00612D36"/>
    <w:rsid w:val="006139B7"/>
    <w:rsid w:val="006501C5"/>
    <w:rsid w:val="00654FC0"/>
    <w:rsid w:val="00667D12"/>
    <w:rsid w:val="00671AD2"/>
    <w:rsid w:val="00676415"/>
    <w:rsid w:val="006766D5"/>
    <w:rsid w:val="006A0545"/>
    <w:rsid w:val="006A1CAD"/>
    <w:rsid w:val="006A421F"/>
    <w:rsid w:val="006A6678"/>
    <w:rsid w:val="006C0ABA"/>
    <w:rsid w:val="006D26AB"/>
    <w:rsid w:val="006F35D2"/>
    <w:rsid w:val="006F5B94"/>
    <w:rsid w:val="0070601A"/>
    <w:rsid w:val="00715B09"/>
    <w:rsid w:val="00716E54"/>
    <w:rsid w:val="007229A3"/>
    <w:rsid w:val="00753D36"/>
    <w:rsid w:val="0078211D"/>
    <w:rsid w:val="0078352D"/>
    <w:rsid w:val="00792B79"/>
    <w:rsid w:val="00793A4F"/>
    <w:rsid w:val="00794255"/>
    <w:rsid w:val="00796D08"/>
    <w:rsid w:val="007A774F"/>
    <w:rsid w:val="007A7837"/>
    <w:rsid w:val="007B4963"/>
    <w:rsid w:val="007C2FC7"/>
    <w:rsid w:val="007D26A3"/>
    <w:rsid w:val="007E4CDA"/>
    <w:rsid w:val="008004CD"/>
    <w:rsid w:val="00815094"/>
    <w:rsid w:val="00816502"/>
    <w:rsid w:val="00826FD8"/>
    <w:rsid w:val="0083050A"/>
    <w:rsid w:val="00832488"/>
    <w:rsid w:val="00874DC7"/>
    <w:rsid w:val="00881097"/>
    <w:rsid w:val="00885059"/>
    <w:rsid w:val="008918BD"/>
    <w:rsid w:val="00895CD8"/>
    <w:rsid w:val="008B3C22"/>
    <w:rsid w:val="008B4575"/>
    <w:rsid w:val="008B7D3C"/>
    <w:rsid w:val="008C5A08"/>
    <w:rsid w:val="008D537D"/>
    <w:rsid w:val="008F394C"/>
    <w:rsid w:val="0091586C"/>
    <w:rsid w:val="00916480"/>
    <w:rsid w:val="00940030"/>
    <w:rsid w:val="00962F62"/>
    <w:rsid w:val="009759A3"/>
    <w:rsid w:val="00995013"/>
    <w:rsid w:val="009A2937"/>
    <w:rsid w:val="009A55DA"/>
    <w:rsid w:val="009A6760"/>
    <w:rsid w:val="009A7557"/>
    <w:rsid w:val="009A7579"/>
    <w:rsid w:val="009C46BC"/>
    <w:rsid w:val="009C7B10"/>
    <w:rsid w:val="009D0685"/>
    <w:rsid w:val="009D7A5D"/>
    <w:rsid w:val="009E5244"/>
    <w:rsid w:val="009E6DE6"/>
    <w:rsid w:val="009F4F31"/>
    <w:rsid w:val="00A019C9"/>
    <w:rsid w:val="00A0212E"/>
    <w:rsid w:val="00A02493"/>
    <w:rsid w:val="00A0786E"/>
    <w:rsid w:val="00A07913"/>
    <w:rsid w:val="00A22F62"/>
    <w:rsid w:val="00A2320F"/>
    <w:rsid w:val="00A25046"/>
    <w:rsid w:val="00A7359A"/>
    <w:rsid w:val="00A907CF"/>
    <w:rsid w:val="00A92BA4"/>
    <w:rsid w:val="00AB35DF"/>
    <w:rsid w:val="00B00C9D"/>
    <w:rsid w:val="00B05848"/>
    <w:rsid w:val="00B06D28"/>
    <w:rsid w:val="00B315D8"/>
    <w:rsid w:val="00B42A1A"/>
    <w:rsid w:val="00B42C66"/>
    <w:rsid w:val="00B730DA"/>
    <w:rsid w:val="00B754E4"/>
    <w:rsid w:val="00B76C16"/>
    <w:rsid w:val="00B97B61"/>
    <w:rsid w:val="00BC00CF"/>
    <w:rsid w:val="00BC1E22"/>
    <w:rsid w:val="00BE3DAD"/>
    <w:rsid w:val="00BE5060"/>
    <w:rsid w:val="00BE518B"/>
    <w:rsid w:val="00BE70AF"/>
    <w:rsid w:val="00BF04B1"/>
    <w:rsid w:val="00BF5678"/>
    <w:rsid w:val="00C1102F"/>
    <w:rsid w:val="00C12F24"/>
    <w:rsid w:val="00C14C60"/>
    <w:rsid w:val="00C251A9"/>
    <w:rsid w:val="00C34F85"/>
    <w:rsid w:val="00C42BE1"/>
    <w:rsid w:val="00C50616"/>
    <w:rsid w:val="00C601B2"/>
    <w:rsid w:val="00C61392"/>
    <w:rsid w:val="00C677FA"/>
    <w:rsid w:val="00C76D6E"/>
    <w:rsid w:val="00C83D11"/>
    <w:rsid w:val="00CA0B48"/>
    <w:rsid w:val="00CA1047"/>
    <w:rsid w:val="00CB1791"/>
    <w:rsid w:val="00CB4B74"/>
    <w:rsid w:val="00CD2FC0"/>
    <w:rsid w:val="00CF7B00"/>
    <w:rsid w:val="00D06D46"/>
    <w:rsid w:val="00D07E55"/>
    <w:rsid w:val="00D25EBB"/>
    <w:rsid w:val="00D32AD1"/>
    <w:rsid w:val="00D55940"/>
    <w:rsid w:val="00D573FF"/>
    <w:rsid w:val="00D62152"/>
    <w:rsid w:val="00D819D0"/>
    <w:rsid w:val="00D85AC7"/>
    <w:rsid w:val="00D900AB"/>
    <w:rsid w:val="00DA5638"/>
    <w:rsid w:val="00DB6623"/>
    <w:rsid w:val="00DD7EB5"/>
    <w:rsid w:val="00DE4B77"/>
    <w:rsid w:val="00DF4B7C"/>
    <w:rsid w:val="00E045FD"/>
    <w:rsid w:val="00E2476C"/>
    <w:rsid w:val="00E24AE6"/>
    <w:rsid w:val="00E55E8B"/>
    <w:rsid w:val="00E73F7B"/>
    <w:rsid w:val="00E83CAD"/>
    <w:rsid w:val="00E971D8"/>
    <w:rsid w:val="00EB25C8"/>
    <w:rsid w:val="00EE7749"/>
    <w:rsid w:val="00F03796"/>
    <w:rsid w:val="00F042EC"/>
    <w:rsid w:val="00F165F4"/>
    <w:rsid w:val="00F17506"/>
    <w:rsid w:val="00F429BB"/>
    <w:rsid w:val="00F45933"/>
    <w:rsid w:val="00F500C4"/>
    <w:rsid w:val="00F7055E"/>
    <w:rsid w:val="00F71B61"/>
    <w:rsid w:val="00F741EB"/>
    <w:rsid w:val="00F755B8"/>
    <w:rsid w:val="00F8110F"/>
    <w:rsid w:val="00F81C0A"/>
    <w:rsid w:val="00F821DC"/>
    <w:rsid w:val="00F827EE"/>
    <w:rsid w:val="00F9061D"/>
    <w:rsid w:val="00F90871"/>
    <w:rsid w:val="00FA45C8"/>
    <w:rsid w:val="00FB12BA"/>
    <w:rsid w:val="00FE4A1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F92C8"/>
  <w15:docId w15:val="{C451340C-D38A-4D35-B93C-AA118CE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qFormat/>
    <w:rsid w:val="00F90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913"/>
    <w:rPr>
      <w:color w:val="0000FF" w:themeColor="hyperlink"/>
      <w:u w:val="single"/>
    </w:rPr>
  </w:style>
  <w:style w:type="paragraph" w:customStyle="1" w:styleId="bulletround">
    <w:name w:val="bullet round"/>
    <w:basedOn w:val="Heading1"/>
    <w:rsid w:val="00A07913"/>
    <w:pPr>
      <w:keepLines w:val="0"/>
      <w:tabs>
        <w:tab w:val="left" w:pos="900"/>
      </w:tabs>
      <w:spacing w:before="0"/>
      <w:ind w:left="900" w:hanging="180"/>
    </w:pPr>
    <w:rPr>
      <w:rFonts w:ascii="Arial" w:eastAsia="Times New Roman" w:hAnsi="Arial" w:cs="Arial"/>
      <w:b w:val="0"/>
      <w:bCs w:val="0"/>
      <w:color w:val="auto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7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bed.nb.ca/tr/lr/Curriculum%20Support%20Resources/Reading%20and%20Writing%20Achievement%20Standards%20End%20of%20Grade%20Sev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bed.nb.ca/tr/lr/Curriculum%20Support%20Resources/Reading%20and%20Writing%20Achievement%20Standards%20End%20of%20Grade%20Se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EEDD237284C428DF2E9F1774F2760" ma:contentTypeVersion="0" ma:contentTypeDescription="Create a new document." ma:contentTypeScope="" ma:versionID="b8bd1670d1254585aed961114fe419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B976-3444-4A56-A885-92A0B4DAB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5805D1-8697-4E64-9087-7D16B552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A42C2-B495-48ED-8C22-1ABF5681893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E1CC1E-3930-4972-BCEA-9B3824E6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7</vt:lpstr>
    </vt:vector>
  </TitlesOfParts>
  <Company>GNB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7</dc:title>
  <dc:subject>English Language Arts</dc:subject>
  <dc:creator>Fran Harris</dc:creator>
  <cp:lastModifiedBy>MacEachern, Liam  (ASD-E)</cp:lastModifiedBy>
  <cp:revision>2</cp:revision>
  <cp:lastPrinted>2015-07-24T19:17:00Z</cp:lastPrinted>
  <dcterms:created xsi:type="dcterms:W3CDTF">2016-10-05T11:59:00Z</dcterms:created>
  <dcterms:modified xsi:type="dcterms:W3CDTF">2016-10-05T11:59:00Z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0x0101001C6EEDD237284C428DF2E9F1774F2760</vt:lpwstr>
  </property>
  <property fmtid="{D5CDD505-2E9C-101B-9397-08002B2CF9AE}" pid="3" name="Order">
    <vt:r8>3000</vt:r8>
  </property>
  <property fmtid="{D5CDD505-2E9C-101B-9397-08002B2CF9AE}" pid="4" name="Grade">
    <vt:lpwstr>7</vt:lpwstr>
  </property>
</Properties>
</file>